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46641" w14:textId="79986496" w:rsidR="000B641D" w:rsidRPr="00BF3DD0" w:rsidRDefault="00E039D2">
      <w:pPr>
        <w:spacing w:after="266"/>
        <w:ind w:left="1243"/>
        <w:rPr>
          <w:sz w:val="24"/>
          <w:szCs w:val="24"/>
        </w:rPr>
      </w:pPr>
      <w:bookmarkStart w:id="0" w:name="_GoBack"/>
      <w:bookmarkEnd w:id="0"/>
      <w:r>
        <w:t xml:space="preserve">  </w:t>
      </w:r>
      <w:r w:rsidR="00F83F19">
        <w:rPr>
          <w:noProof/>
        </w:rPr>
        <w:drawing>
          <wp:inline distT="0" distB="0" distL="0" distR="0" wp14:anchorId="6BD63ED1" wp14:editId="1534C4A6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>
        <w:tab/>
      </w:r>
      <w:r w:rsidR="00631ABF">
        <w:tab/>
      </w:r>
      <w:r w:rsidR="00A166F3">
        <w:tab/>
        <w:t xml:space="preserve">      </w:t>
      </w:r>
      <w:r w:rsidR="009B7D28">
        <w:t xml:space="preserve">                     </w:t>
      </w:r>
      <w:r w:rsidR="00ED1491" w:rsidRPr="00B268D2">
        <w:rPr>
          <w:sz w:val="24"/>
          <w:szCs w:val="24"/>
        </w:rPr>
        <w:t>Warszawa,</w:t>
      </w:r>
      <w:r w:rsidR="000271C3">
        <w:rPr>
          <w:sz w:val="24"/>
          <w:szCs w:val="24"/>
        </w:rPr>
        <w:t xml:space="preserve"> 1 </w:t>
      </w:r>
      <w:r w:rsidR="008B0809">
        <w:rPr>
          <w:sz w:val="24"/>
          <w:szCs w:val="24"/>
        </w:rPr>
        <w:t>lipca</w:t>
      </w:r>
      <w:r w:rsidR="009B7D28">
        <w:rPr>
          <w:sz w:val="24"/>
          <w:szCs w:val="24"/>
        </w:rPr>
        <w:t xml:space="preserve"> 2022 r.</w:t>
      </w:r>
      <w:r w:rsidR="00ED1491" w:rsidRPr="00BF3DD0">
        <w:rPr>
          <w:sz w:val="24"/>
          <w:szCs w:val="24"/>
        </w:rPr>
        <w:t xml:space="preserve">        </w:t>
      </w:r>
    </w:p>
    <w:p w14:paraId="1E139066" w14:textId="77777777" w:rsidR="000B641D" w:rsidRPr="00BF3DD0" w:rsidRDefault="00A72014" w:rsidP="00E039D2">
      <w:pPr>
        <w:spacing w:after="249" w:line="249" w:lineRule="auto"/>
        <w:ind w:left="-590" w:right="4547"/>
        <w:jc w:val="center"/>
        <w:rPr>
          <w:rFonts w:asciiTheme="minorHAnsi" w:hAnsiTheme="minorHAnsi"/>
          <w:b/>
          <w:i/>
          <w:color w:val="878887"/>
          <w:sz w:val="24"/>
          <w:szCs w:val="24"/>
        </w:rPr>
      </w:pPr>
      <w:r w:rsidRPr="00BF3DD0">
        <w:rPr>
          <w:rFonts w:asciiTheme="minorHAnsi" w:eastAsia="Times New Roman" w:hAnsiTheme="minorHAnsi" w:cs="Times New Roman"/>
          <w:color w:val="181717"/>
          <w:sz w:val="24"/>
          <w:szCs w:val="24"/>
        </w:rPr>
        <w:t>MINISTER DO SPRAW UNII EUROPEJSKIEJ</w:t>
      </w:r>
    </w:p>
    <w:p w14:paraId="6F976927" w14:textId="77777777" w:rsidR="00A72014" w:rsidRPr="00BF3DD0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  <w:szCs w:val="24"/>
        </w:rPr>
      </w:pPr>
      <w:r w:rsidRPr="00BF3DD0">
        <w:rPr>
          <w:b/>
          <w:i/>
          <w:color w:val="878887"/>
          <w:sz w:val="24"/>
          <w:szCs w:val="24"/>
        </w:rPr>
        <w:t>Konrad Szymański</w:t>
      </w:r>
    </w:p>
    <w:p w14:paraId="1EA9DDAE" w14:textId="77777777" w:rsidR="009B1ED8" w:rsidRPr="00BF3DD0" w:rsidRDefault="009B1ED8" w:rsidP="0036308D">
      <w:pPr>
        <w:spacing w:after="0" w:line="240" w:lineRule="auto"/>
        <w:ind w:right="-45"/>
        <w:jc w:val="both"/>
        <w:rPr>
          <w:b/>
          <w:i/>
          <w:color w:val="878887"/>
          <w:sz w:val="24"/>
          <w:szCs w:val="24"/>
        </w:rPr>
      </w:pPr>
    </w:p>
    <w:p w14:paraId="75AA0DE3" w14:textId="19C92957" w:rsidR="0036308D" w:rsidRPr="00BF3DD0" w:rsidRDefault="0036308D" w:rsidP="0036308D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BF3DD0">
        <w:rPr>
          <w:rFonts w:asciiTheme="minorHAnsi" w:hAnsiTheme="minorHAnsi" w:cs="Times New Roman"/>
          <w:color w:val="auto"/>
          <w:sz w:val="24"/>
          <w:szCs w:val="24"/>
        </w:rPr>
        <w:t>Sygn</w:t>
      </w:r>
      <w:r w:rsidR="008B0809">
        <w:rPr>
          <w:rFonts w:asciiTheme="minorHAnsi" w:hAnsiTheme="minorHAnsi" w:cs="Times New Roman"/>
          <w:color w:val="auto"/>
          <w:sz w:val="24"/>
          <w:szCs w:val="24"/>
        </w:rPr>
        <w:t>.</w:t>
      </w:r>
      <w:r w:rsidR="008B0809" w:rsidRPr="008B0809">
        <w:t xml:space="preserve"> </w:t>
      </w:r>
      <w:r w:rsidR="008B0809" w:rsidRPr="008B0809">
        <w:rPr>
          <w:rFonts w:asciiTheme="minorHAnsi" w:hAnsiTheme="minorHAnsi" w:cs="Times New Roman"/>
          <w:color w:val="auto"/>
          <w:sz w:val="24"/>
          <w:szCs w:val="24"/>
        </w:rPr>
        <w:t>DPUE.920.779.2022.AR</w:t>
      </w:r>
      <w:r w:rsidR="00DC7146" w:rsidRPr="00DC7146">
        <w:rPr>
          <w:rFonts w:asciiTheme="minorHAnsi" w:hAnsiTheme="minorHAnsi" w:cs="Times New Roman"/>
          <w:color w:val="auto"/>
          <w:sz w:val="24"/>
          <w:szCs w:val="24"/>
        </w:rPr>
        <w:t>(2)</w:t>
      </w:r>
    </w:p>
    <w:p w14:paraId="17E3A7B7" w14:textId="2839BB54" w:rsidR="0036308D" w:rsidRPr="00BF3DD0" w:rsidRDefault="0036308D" w:rsidP="0036308D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BF3DD0">
        <w:rPr>
          <w:rFonts w:asciiTheme="minorHAnsi" w:hAnsiTheme="minorHAnsi" w:cs="Times New Roman"/>
          <w:color w:val="auto"/>
          <w:sz w:val="24"/>
          <w:szCs w:val="24"/>
        </w:rPr>
        <w:t xml:space="preserve">dot.: </w:t>
      </w:r>
      <w:r w:rsidR="008B0809" w:rsidRPr="008B0809">
        <w:rPr>
          <w:rFonts w:asciiTheme="minorHAnsi" w:hAnsiTheme="minorHAnsi" w:cs="Times New Roman"/>
          <w:color w:val="auto"/>
          <w:sz w:val="24"/>
          <w:szCs w:val="24"/>
        </w:rPr>
        <w:t>DRC.WLA.0610.6.2022</w:t>
      </w:r>
      <w:r w:rsidR="007466E8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</w:p>
    <w:p w14:paraId="19116A10" w14:textId="77777777" w:rsidR="009B1021" w:rsidRDefault="0036308D" w:rsidP="009462FC">
      <w:pPr>
        <w:spacing w:after="0" w:line="240" w:lineRule="auto"/>
        <w:ind w:left="-426"/>
        <w:rPr>
          <w:rFonts w:asciiTheme="minorHAnsi" w:hAnsiTheme="minorHAnsi" w:cs="Times New Roman"/>
          <w:color w:val="auto"/>
          <w:sz w:val="24"/>
          <w:szCs w:val="24"/>
        </w:rPr>
      </w:pP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="00B9144F"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="009462FC">
        <w:rPr>
          <w:rFonts w:asciiTheme="minorHAnsi" w:hAnsiTheme="minorHAnsi" w:cs="Times New Roman"/>
          <w:color w:val="auto"/>
          <w:sz w:val="24"/>
          <w:szCs w:val="24"/>
        </w:rPr>
        <w:tab/>
      </w:r>
    </w:p>
    <w:p w14:paraId="505A3379" w14:textId="77777777" w:rsidR="009B1021" w:rsidRDefault="009B1021" w:rsidP="009462FC">
      <w:pPr>
        <w:spacing w:after="0" w:line="240" w:lineRule="auto"/>
        <w:ind w:left="-426"/>
        <w:rPr>
          <w:rFonts w:asciiTheme="minorHAnsi" w:hAnsiTheme="minorHAnsi" w:cs="Times New Roman"/>
          <w:color w:val="auto"/>
          <w:sz w:val="24"/>
          <w:szCs w:val="24"/>
        </w:rPr>
      </w:pPr>
    </w:p>
    <w:p w14:paraId="4A417C9E" w14:textId="77777777" w:rsidR="009B1021" w:rsidRDefault="009B1021" w:rsidP="009462FC">
      <w:pPr>
        <w:spacing w:after="0" w:line="240" w:lineRule="auto"/>
        <w:ind w:left="-426"/>
        <w:rPr>
          <w:rFonts w:asciiTheme="minorHAnsi" w:hAnsiTheme="minorHAnsi" w:cs="Times New Roman"/>
          <w:color w:val="auto"/>
          <w:sz w:val="24"/>
          <w:szCs w:val="24"/>
        </w:rPr>
      </w:pPr>
    </w:p>
    <w:p w14:paraId="3FED3B77" w14:textId="2F758379" w:rsidR="00BF3DD0" w:rsidRPr="00BF3DD0" w:rsidRDefault="00E23D0D" w:rsidP="009B1021">
      <w:pPr>
        <w:spacing w:after="0" w:line="240" w:lineRule="auto"/>
        <w:ind w:left="5670"/>
        <w:rPr>
          <w:rFonts w:eastAsia="Times New Roman" w:cs="Times New Roman"/>
          <w:b/>
          <w:color w:val="auto"/>
          <w:sz w:val="24"/>
          <w:szCs w:val="24"/>
        </w:rPr>
      </w:pPr>
      <w:r w:rsidRPr="00BF3DD0">
        <w:rPr>
          <w:rFonts w:eastAsia="Times New Roman" w:cs="Times New Roman"/>
          <w:b/>
          <w:color w:val="auto"/>
          <w:sz w:val="24"/>
          <w:szCs w:val="24"/>
        </w:rPr>
        <w:t xml:space="preserve">Pan </w:t>
      </w:r>
      <w:r w:rsidR="00CF270C">
        <w:rPr>
          <w:rFonts w:eastAsia="Times New Roman" w:cs="Times New Roman"/>
          <w:b/>
          <w:color w:val="auto"/>
          <w:sz w:val="24"/>
          <w:szCs w:val="24"/>
        </w:rPr>
        <w:t>Mateusz Morawiecki</w:t>
      </w:r>
    </w:p>
    <w:p w14:paraId="0B0F1681" w14:textId="77777777" w:rsidR="00CF270C" w:rsidRDefault="00CF270C" w:rsidP="005B0E75">
      <w:pPr>
        <w:spacing w:after="0" w:line="240" w:lineRule="auto"/>
        <w:ind w:left="5670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>Prezes Rady Ministrów</w:t>
      </w:r>
    </w:p>
    <w:p w14:paraId="5CDF1745" w14:textId="77777777" w:rsidR="00E23D0D" w:rsidRPr="00BF3DD0" w:rsidRDefault="00650EDA" w:rsidP="005B0E75">
      <w:pPr>
        <w:spacing w:after="0" w:line="240" w:lineRule="auto"/>
        <w:ind w:left="5670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 xml:space="preserve">Minister </w:t>
      </w:r>
      <w:r w:rsidR="00CF270C">
        <w:rPr>
          <w:rFonts w:eastAsia="Times New Roman" w:cs="Times New Roman"/>
          <w:b/>
          <w:color w:val="auto"/>
          <w:sz w:val="24"/>
          <w:szCs w:val="24"/>
        </w:rPr>
        <w:t>Cyfryzacji</w:t>
      </w:r>
    </w:p>
    <w:p w14:paraId="51D47C1C" w14:textId="77777777" w:rsidR="008B0809" w:rsidRDefault="008B0809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14:paraId="39D58318" w14:textId="77777777" w:rsidR="009B1021" w:rsidRDefault="009B1021" w:rsidP="00DC2033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</w:p>
    <w:p w14:paraId="3987D43E" w14:textId="77777777" w:rsidR="009B1021" w:rsidRDefault="009B1021" w:rsidP="00DC2033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</w:p>
    <w:p w14:paraId="1A902134" w14:textId="2C6854BE" w:rsidR="00E23D0D" w:rsidRPr="00BF3DD0" w:rsidRDefault="00E23D0D" w:rsidP="00DC2033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  <w:r w:rsidRPr="00BF3DD0">
        <w:rPr>
          <w:rFonts w:eastAsia="Times New Roman" w:cs="Times New Roman"/>
          <w:b/>
          <w:sz w:val="24"/>
          <w:szCs w:val="24"/>
        </w:rPr>
        <w:t>Opinia</w:t>
      </w:r>
    </w:p>
    <w:p w14:paraId="26567DFE" w14:textId="7FD03223" w:rsidR="00E23D0D" w:rsidRPr="00BF3DD0" w:rsidRDefault="00E23D0D" w:rsidP="00DC203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eastAsia="Times New Roman" w:cs="Times New Roman"/>
          <w:b/>
          <w:sz w:val="24"/>
          <w:szCs w:val="24"/>
        </w:rPr>
      </w:pPr>
      <w:r w:rsidRPr="00BF3DD0">
        <w:rPr>
          <w:rFonts w:eastAsia="Times New Roman" w:cs="Times New Roman"/>
          <w:b/>
          <w:sz w:val="24"/>
          <w:szCs w:val="24"/>
        </w:rPr>
        <w:t xml:space="preserve">o zgodności z prawem Unii Europejskiej </w:t>
      </w:r>
      <w:r w:rsidR="008B0809" w:rsidRPr="008B0809">
        <w:rPr>
          <w:rFonts w:eastAsia="Times New Roman" w:cs="Times New Roman"/>
          <w:b/>
          <w:i/>
          <w:iCs/>
          <w:sz w:val="24"/>
          <w:szCs w:val="24"/>
        </w:rPr>
        <w:t>projekt</w:t>
      </w:r>
      <w:r w:rsidR="004D44D3">
        <w:rPr>
          <w:rFonts w:eastAsia="Times New Roman" w:cs="Times New Roman"/>
          <w:b/>
          <w:i/>
          <w:iCs/>
          <w:sz w:val="24"/>
          <w:szCs w:val="24"/>
        </w:rPr>
        <w:t>u</w:t>
      </w:r>
      <w:r w:rsidR="008B0809" w:rsidRPr="008B0809">
        <w:rPr>
          <w:rFonts w:eastAsia="Times New Roman" w:cs="Times New Roman"/>
          <w:b/>
          <w:i/>
          <w:iCs/>
          <w:sz w:val="24"/>
          <w:szCs w:val="24"/>
        </w:rPr>
        <w:t xml:space="preserve"> ustawy o aplikacji mObywatel</w:t>
      </w:r>
      <w:r w:rsidRPr="00BF3DD0">
        <w:rPr>
          <w:rFonts w:eastAsia="Times New Roman" w:cs="Times New Roman"/>
          <w:b/>
          <w:i/>
          <w:iCs/>
          <w:sz w:val="24"/>
          <w:szCs w:val="24"/>
        </w:rPr>
        <w:t xml:space="preserve">, </w:t>
      </w:r>
      <w:r w:rsidRPr="00BF3DD0">
        <w:rPr>
          <w:rFonts w:eastAsia="Times New Roman" w:cs="Times New Roman"/>
          <w:b/>
          <w:sz w:val="24"/>
          <w:szCs w:val="24"/>
        </w:rPr>
        <w:t>wyrażona</w:t>
      </w:r>
      <w:r w:rsidR="005C2CED">
        <w:rPr>
          <w:rFonts w:eastAsia="Times New Roman" w:cs="Times New Roman"/>
          <w:b/>
          <w:sz w:val="24"/>
          <w:szCs w:val="24"/>
        </w:rPr>
        <w:t xml:space="preserve"> p</w:t>
      </w:r>
      <w:r w:rsidR="00A960B5" w:rsidRPr="00BF3DD0">
        <w:rPr>
          <w:rFonts w:eastAsia="Times New Roman" w:cs="Times New Roman"/>
          <w:b/>
          <w:sz w:val="24"/>
          <w:szCs w:val="24"/>
        </w:rPr>
        <w:t>rzez</w:t>
      </w:r>
      <w:r w:rsidR="00A960B5">
        <w:rPr>
          <w:rFonts w:eastAsia="Times New Roman" w:cs="Times New Roman"/>
          <w:b/>
          <w:sz w:val="24"/>
          <w:szCs w:val="24"/>
        </w:rPr>
        <w:t> </w:t>
      </w:r>
      <w:r w:rsidRPr="00BF3DD0">
        <w:rPr>
          <w:rFonts w:eastAsia="Times New Roman" w:cs="Times New Roman"/>
          <w:b/>
          <w:sz w:val="24"/>
          <w:szCs w:val="24"/>
        </w:rPr>
        <w:t>ministra właściwego do spraw członkostwa Rzeczypospolitej Polskiej w Unii Europejskiej</w:t>
      </w:r>
    </w:p>
    <w:p w14:paraId="55A9D1A3" w14:textId="77777777" w:rsidR="008B0809" w:rsidRDefault="008B0809" w:rsidP="009B1ED8">
      <w:pPr>
        <w:spacing w:after="120" w:line="240" w:lineRule="auto"/>
        <w:ind w:left="-426" w:firstLine="284"/>
        <w:rPr>
          <w:rFonts w:eastAsia="Times New Roman" w:cs="Times New Roman"/>
          <w:i/>
          <w:color w:val="auto"/>
          <w:sz w:val="24"/>
          <w:szCs w:val="24"/>
        </w:rPr>
      </w:pPr>
    </w:p>
    <w:p w14:paraId="226774C5" w14:textId="77777777" w:rsidR="009B1021" w:rsidRDefault="009B1021" w:rsidP="009B1ED8">
      <w:pPr>
        <w:spacing w:after="120" w:line="240" w:lineRule="auto"/>
        <w:ind w:left="-426" w:firstLine="284"/>
        <w:rPr>
          <w:rFonts w:eastAsia="Times New Roman" w:cs="Times New Roman"/>
          <w:i/>
          <w:color w:val="auto"/>
          <w:sz w:val="24"/>
          <w:szCs w:val="24"/>
        </w:rPr>
      </w:pPr>
    </w:p>
    <w:p w14:paraId="30280B89" w14:textId="38C82AC5" w:rsidR="00E23D0D" w:rsidRDefault="00E23D0D" w:rsidP="009B1ED8">
      <w:pPr>
        <w:spacing w:after="120" w:line="240" w:lineRule="auto"/>
        <w:ind w:left="-426" w:firstLine="284"/>
        <w:rPr>
          <w:rFonts w:eastAsia="Times New Roman" w:cs="Times New Roman"/>
          <w:i/>
          <w:color w:val="auto"/>
          <w:sz w:val="24"/>
          <w:szCs w:val="24"/>
        </w:rPr>
      </w:pPr>
      <w:r w:rsidRPr="00BF3DD0">
        <w:rPr>
          <w:rFonts w:eastAsia="Times New Roman" w:cs="Times New Roman"/>
          <w:i/>
          <w:color w:val="auto"/>
          <w:sz w:val="24"/>
          <w:szCs w:val="24"/>
        </w:rPr>
        <w:t xml:space="preserve">Szanowny Panie </w:t>
      </w:r>
      <w:r w:rsidR="00CF270C">
        <w:rPr>
          <w:rFonts w:eastAsia="Times New Roman" w:cs="Times New Roman"/>
          <w:i/>
          <w:color w:val="auto"/>
          <w:sz w:val="24"/>
          <w:szCs w:val="24"/>
        </w:rPr>
        <w:t>Premierze</w:t>
      </w:r>
      <w:r w:rsidRPr="00BF3DD0">
        <w:rPr>
          <w:rFonts w:eastAsia="Times New Roman" w:cs="Times New Roman"/>
          <w:i/>
          <w:color w:val="auto"/>
          <w:sz w:val="24"/>
          <w:szCs w:val="24"/>
        </w:rPr>
        <w:t xml:space="preserve">,      </w:t>
      </w:r>
    </w:p>
    <w:p w14:paraId="721D8B00" w14:textId="77777777" w:rsidR="009B1021" w:rsidRPr="00BF3DD0" w:rsidRDefault="009B1021" w:rsidP="009B1ED8">
      <w:pPr>
        <w:spacing w:after="120" w:line="240" w:lineRule="auto"/>
        <w:ind w:left="-426" w:firstLine="284"/>
        <w:rPr>
          <w:rFonts w:eastAsia="Times New Roman" w:cs="Times New Roman"/>
          <w:i/>
          <w:color w:val="auto"/>
          <w:sz w:val="24"/>
          <w:szCs w:val="24"/>
        </w:rPr>
      </w:pPr>
    </w:p>
    <w:p w14:paraId="7BE458C0" w14:textId="77777777" w:rsidR="00B9144F" w:rsidRDefault="00B9144F" w:rsidP="009B7D28">
      <w:pPr>
        <w:spacing w:before="120" w:after="12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  <w:r w:rsidRPr="00BF3DD0">
        <w:rPr>
          <w:rFonts w:eastAsia="Times New Roman" w:cs="Times New Roman"/>
          <w:color w:val="auto"/>
          <w:sz w:val="24"/>
          <w:szCs w:val="24"/>
        </w:rPr>
        <w:t>w związku z przedłożonym projektem</w:t>
      </w:r>
      <w:r w:rsidR="000306EB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CF270C">
        <w:rPr>
          <w:rFonts w:eastAsia="Times New Roman" w:cs="Times New Roman"/>
          <w:color w:val="auto"/>
          <w:sz w:val="24"/>
          <w:szCs w:val="24"/>
        </w:rPr>
        <w:t xml:space="preserve">ustawy </w:t>
      </w:r>
      <w:r w:rsidRPr="00BF3DD0">
        <w:rPr>
          <w:rFonts w:eastAsia="Times New Roman" w:cs="Times New Roman"/>
          <w:color w:val="auto"/>
          <w:sz w:val="24"/>
          <w:szCs w:val="24"/>
        </w:rPr>
        <w:t>pozwalam sobie wyrazić poniższą opinię.</w:t>
      </w:r>
    </w:p>
    <w:p w14:paraId="5526F363" w14:textId="0E95F5F3" w:rsidR="008B0809" w:rsidRPr="008B0809" w:rsidRDefault="008B0809" w:rsidP="008B0809">
      <w:pPr>
        <w:spacing w:before="120"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8B0809">
        <w:rPr>
          <w:rFonts w:eastAsia="Times New Roman" w:cs="Times New Roman"/>
          <w:color w:val="auto"/>
          <w:sz w:val="24"/>
          <w:szCs w:val="24"/>
        </w:rPr>
        <w:t>1.</w:t>
      </w:r>
      <w:r w:rsidRPr="008B0809">
        <w:rPr>
          <w:rFonts w:eastAsia="Times New Roman" w:cs="Times New Roman"/>
          <w:color w:val="auto"/>
          <w:sz w:val="24"/>
          <w:szCs w:val="24"/>
        </w:rPr>
        <w:tab/>
        <w:t xml:space="preserve">Zgodnie z art. 2 ust. 1 pkt 1 lit. d) projektu ustawy minister właściwy do spraw informatyzacji udostępnia w aplikacji mObywatel usługi, z których użytkownik tej aplikacji może korzystać przy użyciu urządzenia mobilnego, pozwalające na pobranie, przechowywanie, prezentację oraz przekazywanie, przy użyciu urządzenia mobilnego, dokumentu elektronicznego zawierającego dane pobrane z rejestru publicznego </w:t>
      </w:r>
      <w:r w:rsidR="004D44D3" w:rsidRPr="008B0809">
        <w:rPr>
          <w:rFonts w:eastAsia="Times New Roman" w:cs="Times New Roman"/>
          <w:color w:val="auto"/>
          <w:sz w:val="24"/>
          <w:szCs w:val="24"/>
        </w:rPr>
        <w:t>lub</w:t>
      </w:r>
      <w:r w:rsidR="004D44D3">
        <w:rPr>
          <w:rFonts w:eastAsia="Times New Roman" w:cs="Times New Roman"/>
          <w:color w:val="auto"/>
          <w:sz w:val="24"/>
          <w:szCs w:val="24"/>
        </w:rPr>
        <w:t> </w:t>
      </w:r>
      <w:r w:rsidRPr="008B0809">
        <w:rPr>
          <w:rFonts w:eastAsia="Times New Roman" w:cs="Times New Roman"/>
          <w:color w:val="auto"/>
          <w:sz w:val="24"/>
          <w:szCs w:val="24"/>
        </w:rPr>
        <w:t>z</w:t>
      </w:r>
      <w:r>
        <w:rPr>
          <w:rFonts w:eastAsia="Times New Roman" w:cs="Times New Roman"/>
          <w:color w:val="auto"/>
          <w:sz w:val="24"/>
          <w:szCs w:val="24"/>
        </w:rPr>
        <w:t> </w:t>
      </w:r>
      <w:r w:rsidRPr="008B0809">
        <w:rPr>
          <w:rFonts w:eastAsia="Times New Roman" w:cs="Times New Roman"/>
          <w:color w:val="auto"/>
          <w:sz w:val="24"/>
          <w:szCs w:val="24"/>
        </w:rPr>
        <w:t>systemu teleinformatycznego podmiotu publicznego</w:t>
      </w:r>
      <w:r w:rsidR="00A07717">
        <w:rPr>
          <w:rFonts w:eastAsia="Times New Roman" w:cs="Times New Roman"/>
          <w:color w:val="auto"/>
          <w:sz w:val="24"/>
          <w:szCs w:val="24"/>
        </w:rPr>
        <w:t>: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 dane dotyczące sytuacji prawnej osoby, której ten użytkownik jest rodzicem lub opiekunem prawnym, lub praw przysługujących tej osobie. </w:t>
      </w:r>
    </w:p>
    <w:p w14:paraId="52540005" w14:textId="49ADD8AD" w:rsidR="008B0809" w:rsidRPr="008B0809" w:rsidRDefault="008B0809" w:rsidP="008B0809">
      <w:pPr>
        <w:spacing w:before="120"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8B0809">
        <w:rPr>
          <w:rFonts w:eastAsia="Times New Roman" w:cs="Times New Roman"/>
          <w:color w:val="auto"/>
          <w:sz w:val="24"/>
          <w:szCs w:val="24"/>
        </w:rPr>
        <w:t xml:space="preserve">Zgodnie z art. 5 ust. 1 lit. b) oraz c) </w:t>
      </w:r>
      <w:r w:rsidRPr="008B0809">
        <w:rPr>
          <w:rFonts w:eastAsia="Times New Roman" w:cs="Times New Roman"/>
          <w:i/>
          <w:color w:val="auto"/>
          <w:sz w:val="24"/>
          <w:szCs w:val="24"/>
        </w:rPr>
        <w:t>rozporządzenia Parlamentu Europejskiego i Rady (UE) 2016/679 w sprawie ochrony osób fizycznych w związku z przetwarzaniem danych osobowych i w sprawie swobodnego przepływu takich danych (ogólne rozporządzenie o ochronie danych)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 dane osobowe muszą być zbierane w konkretnych, wyraźnych i prawnie uzasadnionych celach i nieprzetwarzane dalej w sposób niezgodny z tymi celami („ograniczenie celu”) </w:t>
      </w:r>
      <w:r w:rsidR="004D44D3" w:rsidRPr="008B0809">
        <w:rPr>
          <w:rFonts w:eastAsia="Times New Roman" w:cs="Times New Roman"/>
          <w:color w:val="auto"/>
          <w:sz w:val="24"/>
          <w:szCs w:val="24"/>
        </w:rPr>
        <w:t>oraz</w:t>
      </w:r>
      <w:r w:rsidR="004D44D3">
        <w:rPr>
          <w:rFonts w:eastAsia="Times New Roman" w:cs="Times New Roman"/>
          <w:color w:val="auto"/>
          <w:sz w:val="24"/>
          <w:szCs w:val="24"/>
        </w:rPr>
        <w:t> 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adekwatne, stosowne oraz ograniczone do tego, co niezbędne do celów, w których </w:t>
      </w:r>
      <w:r w:rsidR="004D44D3" w:rsidRPr="008B0809">
        <w:rPr>
          <w:rFonts w:eastAsia="Times New Roman" w:cs="Times New Roman"/>
          <w:color w:val="auto"/>
          <w:sz w:val="24"/>
          <w:szCs w:val="24"/>
        </w:rPr>
        <w:t>są</w:t>
      </w:r>
      <w:r w:rsidR="004D44D3">
        <w:rPr>
          <w:rFonts w:eastAsia="Times New Roman" w:cs="Times New Roman"/>
          <w:color w:val="auto"/>
          <w:sz w:val="24"/>
          <w:szCs w:val="24"/>
        </w:rPr>
        <w:t> 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przetwarzane („minimalizacja danych”). </w:t>
      </w:r>
    </w:p>
    <w:p w14:paraId="7B919E99" w14:textId="6780713F" w:rsidR="008B0809" w:rsidRPr="008B0809" w:rsidRDefault="008B0809" w:rsidP="008B0809">
      <w:pPr>
        <w:spacing w:before="120"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8B0809">
        <w:rPr>
          <w:rFonts w:eastAsia="Times New Roman" w:cs="Times New Roman"/>
          <w:color w:val="auto"/>
          <w:sz w:val="24"/>
          <w:szCs w:val="24"/>
        </w:rPr>
        <w:t xml:space="preserve">Możliwość dostępu rodziców do </w:t>
      </w:r>
      <w:r w:rsidR="004D44D3">
        <w:rPr>
          <w:rFonts w:eastAsia="Times New Roman" w:cs="Times New Roman"/>
          <w:color w:val="auto"/>
          <w:sz w:val="24"/>
          <w:szCs w:val="24"/>
        </w:rPr>
        <w:t xml:space="preserve">wszystkich </w:t>
      </w:r>
      <w:r w:rsidRPr="008B0809">
        <w:rPr>
          <w:rFonts w:eastAsia="Times New Roman" w:cs="Times New Roman"/>
          <w:color w:val="auto"/>
          <w:sz w:val="24"/>
          <w:szCs w:val="24"/>
        </w:rPr>
        <w:t>danych pełnoletnich dzieci</w:t>
      </w:r>
      <w:r w:rsidR="00A07717">
        <w:rPr>
          <w:rFonts w:eastAsia="Times New Roman" w:cs="Times New Roman"/>
          <w:color w:val="auto"/>
          <w:sz w:val="24"/>
          <w:szCs w:val="24"/>
        </w:rPr>
        <w:t>,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 przewidziana </w:t>
      </w:r>
      <w:r w:rsidR="00DC2033" w:rsidRPr="008B0809">
        <w:rPr>
          <w:rFonts w:eastAsia="Times New Roman" w:cs="Times New Roman"/>
          <w:color w:val="auto"/>
          <w:sz w:val="24"/>
          <w:szCs w:val="24"/>
        </w:rPr>
        <w:t>w</w:t>
      </w:r>
      <w:r w:rsidR="00DC2033">
        <w:rPr>
          <w:rFonts w:eastAsia="Times New Roman" w:cs="Times New Roman"/>
          <w:color w:val="auto"/>
          <w:sz w:val="24"/>
          <w:szCs w:val="24"/>
        </w:rPr>
        <w:t> </w:t>
      </w:r>
      <w:r w:rsidRPr="008B0809">
        <w:rPr>
          <w:rFonts w:eastAsia="Times New Roman" w:cs="Times New Roman"/>
          <w:color w:val="auto"/>
          <w:sz w:val="24"/>
          <w:szCs w:val="24"/>
        </w:rPr>
        <w:t>projekcie ustawy (</w:t>
      </w:r>
      <w:r w:rsidR="004D44D3">
        <w:rPr>
          <w:rFonts w:eastAsia="Times New Roman" w:cs="Times New Roman"/>
          <w:color w:val="auto"/>
          <w:sz w:val="24"/>
          <w:szCs w:val="24"/>
        </w:rPr>
        <w:t>przywołany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 przepis takiej możliwości bowiem nie wyklucza)</w:t>
      </w:r>
      <w:r w:rsidR="00A07717">
        <w:rPr>
          <w:rFonts w:eastAsia="Times New Roman" w:cs="Times New Roman"/>
          <w:color w:val="auto"/>
          <w:sz w:val="24"/>
          <w:szCs w:val="24"/>
        </w:rPr>
        <w:t>,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 budzi wątpliwości pod względem zgodności z</w:t>
      </w:r>
      <w:r w:rsidR="00DB45D7">
        <w:rPr>
          <w:rFonts w:eastAsia="Times New Roman" w:cs="Times New Roman"/>
          <w:color w:val="auto"/>
          <w:sz w:val="24"/>
          <w:szCs w:val="24"/>
        </w:rPr>
        <w:t>e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4D44D3">
        <w:rPr>
          <w:rFonts w:eastAsia="Times New Roman" w:cs="Times New Roman"/>
          <w:color w:val="auto"/>
          <w:sz w:val="24"/>
          <w:szCs w:val="24"/>
        </w:rPr>
        <w:t>wskazanymi wyżej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 zasadami. Kwestia ta wymaga zatem ponownej analizy. </w:t>
      </w:r>
    </w:p>
    <w:p w14:paraId="1C7E4B2C" w14:textId="1359603D" w:rsidR="008B0809" w:rsidRPr="008B0809" w:rsidRDefault="008B0809" w:rsidP="008B0809">
      <w:pPr>
        <w:spacing w:before="120"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8B0809">
        <w:rPr>
          <w:rFonts w:eastAsia="Times New Roman" w:cs="Times New Roman"/>
          <w:color w:val="auto"/>
          <w:sz w:val="24"/>
          <w:szCs w:val="24"/>
        </w:rPr>
        <w:lastRenderedPageBreak/>
        <w:t>2.</w:t>
      </w:r>
      <w:r w:rsidRPr="008B0809">
        <w:rPr>
          <w:rFonts w:eastAsia="Times New Roman" w:cs="Times New Roman"/>
          <w:color w:val="auto"/>
          <w:sz w:val="24"/>
          <w:szCs w:val="24"/>
        </w:rPr>
        <w:tab/>
        <w:t>Zgodnie z projektowanym art. 2 ust. 4 dokument elektroniczny, oprócz podstawowych danych, o których mowa w ust. 3, może zawierać także inne dane pobrane z</w:t>
      </w:r>
      <w:r>
        <w:rPr>
          <w:rFonts w:eastAsia="Times New Roman" w:cs="Times New Roman"/>
          <w:color w:val="auto"/>
          <w:sz w:val="24"/>
          <w:szCs w:val="24"/>
        </w:rPr>
        <w:t> 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rejestrów publicznych lub systemów teleinformatycznych. Projektowany przepis wymienia </w:t>
      </w:r>
      <w:r w:rsidR="00DB45D7">
        <w:rPr>
          <w:rFonts w:eastAsia="Times New Roman" w:cs="Times New Roman"/>
          <w:color w:val="auto"/>
          <w:sz w:val="24"/>
          <w:szCs w:val="24"/>
        </w:rPr>
        <w:t>wiele</w:t>
      </w:r>
      <w:r w:rsidRPr="004D44D3">
        <w:rPr>
          <w:rFonts w:eastAsia="Times New Roman" w:cs="Times New Roman"/>
          <w:color w:val="auto"/>
          <w:sz w:val="24"/>
          <w:szCs w:val="24"/>
        </w:rPr>
        <w:t xml:space="preserve"> tych</w:t>
      </w:r>
      <w:r w:rsidR="00A07717">
        <w:rPr>
          <w:rFonts w:eastAsia="Times New Roman" w:cs="Times New Roman"/>
          <w:color w:val="auto"/>
          <w:sz w:val="24"/>
          <w:szCs w:val="24"/>
        </w:rPr>
        <w:t> </w:t>
      </w:r>
      <w:r w:rsidRPr="004D44D3">
        <w:rPr>
          <w:rFonts w:eastAsia="Times New Roman" w:cs="Times New Roman"/>
          <w:color w:val="auto"/>
          <w:sz w:val="24"/>
          <w:szCs w:val="24"/>
        </w:rPr>
        <w:t>danych</w:t>
      </w:r>
      <w:r w:rsidRPr="008B0809">
        <w:rPr>
          <w:rFonts w:eastAsia="Times New Roman" w:cs="Times New Roman"/>
          <w:color w:val="auto"/>
          <w:sz w:val="24"/>
          <w:szCs w:val="24"/>
        </w:rPr>
        <w:t>, jednocześnie posługując się sformułowaniem „w szczególności”.</w:t>
      </w:r>
    </w:p>
    <w:p w14:paraId="34168691" w14:textId="135FF4BA" w:rsidR="008B0809" w:rsidRPr="008B0809" w:rsidRDefault="008B0809" w:rsidP="008B0809">
      <w:pPr>
        <w:spacing w:before="120"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8B0809">
        <w:rPr>
          <w:rFonts w:eastAsia="Times New Roman" w:cs="Times New Roman"/>
          <w:color w:val="auto"/>
          <w:sz w:val="24"/>
          <w:szCs w:val="24"/>
        </w:rPr>
        <w:t xml:space="preserve">Po pierwsze, katalog ten jest katalogiem bardzo szerokim. Znajdują się tu takie dane </w:t>
      </w:r>
      <w:r w:rsidR="00DC2033" w:rsidRPr="008B0809">
        <w:rPr>
          <w:rFonts w:eastAsia="Times New Roman" w:cs="Times New Roman"/>
          <w:color w:val="auto"/>
          <w:sz w:val="24"/>
          <w:szCs w:val="24"/>
        </w:rPr>
        <w:t>jak</w:t>
      </w:r>
      <w:r w:rsidR="00DC2033">
        <w:rPr>
          <w:rFonts w:eastAsia="Times New Roman" w:cs="Times New Roman"/>
          <w:color w:val="auto"/>
          <w:sz w:val="24"/>
          <w:szCs w:val="24"/>
        </w:rPr>
        <w:t> </w:t>
      </w:r>
      <w:r w:rsidRPr="008B0809">
        <w:rPr>
          <w:rFonts w:eastAsia="Times New Roman" w:cs="Times New Roman"/>
          <w:color w:val="auto"/>
          <w:sz w:val="24"/>
          <w:szCs w:val="24"/>
        </w:rPr>
        <w:t>nazwisko rodowe, imię ojca, nazwisko rodowe ojca, imię matki oraz jej nazwisko rodowe. Po</w:t>
      </w:r>
      <w:r>
        <w:rPr>
          <w:rFonts w:eastAsia="Times New Roman" w:cs="Times New Roman"/>
          <w:color w:val="auto"/>
          <w:sz w:val="24"/>
          <w:szCs w:val="24"/>
        </w:rPr>
        <w:t> </w:t>
      </w:r>
      <w:r w:rsidRPr="008B0809">
        <w:rPr>
          <w:rFonts w:eastAsia="Times New Roman" w:cs="Times New Roman"/>
          <w:color w:val="auto"/>
          <w:sz w:val="24"/>
          <w:szCs w:val="24"/>
        </w:rPr>
        <w:t>drugie, katalog ten będzie katalogiem otwartym</w:t>
      </w:r>
      <w:r w:rsidR="00DB45D7">
        <w:rPr>
          <w:rFonts w:eastAsia="Times New Roman" w:cs="Times New Roman"/>
          <w:color w:val="auto"/>
          <w:sz w:val="24"/>
          <w:szCs w:val="24"/>
        </w:rPr>
        <w:t>,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 przez posłużenie się w projektowanym przepisie wyrażeniem „w szczególności”. </w:t>
      </w:r>
    </w:p>
    <w:p w14:paraId="5F352943" w14:textId="1FCDEE2B" w:rsidR="008B0809" w:rsidRPr="008B0809" w:rsidRDefault="008B0809" w:rsidP="008B0809">
      <w:pPr>
        <w:spacing w:before="120"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8B0809">
        <w:rPr>
          <w:rFonts w:eastAsia="Times New Roman" w:cs="Times New Roman"/>
          <w:color w:val="auto"/>
          <w:sz w:val="24"/>
          <w:szCs w:val="24"/>
        </w:rPr>
        <w:t xml:space="preserve">W uzasadnieniu projektu ustawy wskazano, że rozszerzenie katalogu danych w </w:t>
      </w:r>
      <w:r w:rsidR="004D44D3">
        <w:rPr>
          <w:rFonts w:eastAsia="Times New Roman" w:cs="Times New Roman"/>
          <w:color w:val="auto"/>
          <w:sz w:val="24"/>
          <w:szCs w:val="24"/>
        </w:rPr>
        <w:t>ustawie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 będzie dostosowywane do potrzeb użytkowników i </w:t>
      </w:r>
      <w:r w:rsidR="00F037C9">
        <w:rPr>
          <w:rFonts w:eastAsia="Times New Roman" w:cs="Times New Roman"/>
          <w:color w:val="auto"/>
          <w:sz w:val="24"/>
          <w:szCs w:val="24"/>
        </w:rPr>
        <w:t xml:space="preserve">do </w:t>
      </w:r>
      <w:r w:rsidRPr="008B0809">
        <w:rPr>
          <w:rFonts w:eastAsia="Times New Roman" w:cs="Times New Roman"/>
          <w:color w:val="auto"/>
          <w:sz w:val="24"/>
          <w:szCs w:val="24"/>
        </w:rPr>
        <w:t>nowych usług, w</w:t>
      </w:r>
      <w:r>
        <w:rPr>
          <w:rFonts w:eastAsia="Times New Roman" w:cs="Times New Roman"/>
          <w:color w:val="auto"/>
          <w:sz w:val="24"/>
          <w:szCs w:val="24"/>
        </w:rPr>
        <w:t> </w:t>
      </w:r>
      <w:r w:rsidRPr="008B0809">
        <w:rPr>
          <w:rFonts w:eastAsia="Times New Roman" w:cs="Times New Roman"/>
          <w:color w:val="auto"/>
          <w:sz w:val="24"/>
          <w:szCs w:val="24"/>
        </w:rPr>
        <w:t>szczególności związanych z</w:t>
      </w:r>
      <w:r w:rsidR="00DB45D7">
        <w:rPr>
          <w:rFonts w:eastAsia="Times New Roman" w:cs="Times New Roman"/>
          <w:color w:val="auto"/>
          <w:sz w:val="24"/>
          <w:szCs w:val="24"/>
        </w:rPr>
        <w:t> 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przekazywaniem danych przez użytkowników do systemów teleinformatycznych podmiotów świadczących usługi z wykorzystaniem aplikacji mObywatel, w których potrzebne będzie przekazanie danych użytkownika. </w:t>
      </w:r>
    </w:p>
    <w:p w14:paraId="157CDF36" w14:textId="67D27F4D" w:rsidR="008B0809" w:rsidRPr="008B0809" w:rsidRDefault="00EE7C7F" w:rsidP="008B0809">
      <w:pPr>
        <w:spacing w:before="120"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 xml:space="preserve">Z </w:t>
      </w:r>
      <w:r w:rsidR="007577B6">
        <w:rPr>
          <w:rFonts w:eastAsia="Times New Roman" w:cs="Times New Roman"/>
          <w:color w:val="auto"/>
          <w:sz w:val="24"/>
          <w:szCs w:val="24"/>
        </w:rPr>
        <w:t xml:space="preserve">uwagi </w:t>
      </w:r>
      <w:r w:rsidR="008B0809" w:rsidRPr="008B0809">
        <w:rPr>
          <w:rFonts w:eastAsia="Times New Roman" w:cs="Times New Roman"/>
          <w:color w:val="auto"/>
          <w:sz w:val="24"/>
          <w:szCs w:val="24"/>
        </w:rPr>
        <w:t>na wspomniane zasady ograniczenia celu i minimalizacji danych z art. 5 ust. 1 lit.</w:t>
      </w:r>
      <w:r w:rsidR="007577B6">
        <w:rPr>
          <w:rFonts w:eastAsia="Times New Roman" w:cs="Times New Roman"/>
          <w:color w:val="auto"/>
          <w:sz w:val="24"/>
          <w:szCs w:val="24"/>
        </w:rPr>
        <w:t xml:space="preserve"> b) i</w:t>
      </w:r>
      <w:r w:rsidR="00DB45D7">
        <w:rPr>
          <w:rFonts w:eastAsia="Times New Roman" w:cs="Times New Roman"/>
          <w:color w:val="auto"/>
          <w:sz w:val="24"/>
          <w:szCs w:val="24"/>
        </w:rPr>
        <w:t> </w:t>
      </w:r>
      <w:r w:rsidR="007577B6">
        <w:rPr>
          <w:rFonts w:eastAsia="Times New Roman" w:cs="Times New Roman"/>
          <w:color w:val="auto"/>
          <w:sz w:val="24"/>
          <w:szCs w:val="24"/>
        </w:rPr>
        <w:t xml:space="preserve">c) rozporządzenia 2016/679, </w:t>
      </w:r>
      <w:r w:rsidR="008B0809" w:rsidRPr="008B0809">
        <w:rPr>
          <w:rFonts w:eastAsia="Times New Roman" w:cs="Times New Roman"/>
          <w:color w:val="auto"/>
          <w:sz w:val="24"/>
          <w:szCs w:val="24"/>
        </w:rPr>
        <w:t xml:space="preserve">zasadna jest ponowna analiza konieczności </w:t>
      </w:r>
      <w:r w:rsidR="007577B6">
        <w:rPr>
          <w:rFonts w:eastAsia="Times New Roman" w:cs="Times New Roman"/>
          <w:color w:val="auto"/>
          <w:sz w:val="24"/>
          <w:szCs w:val="24"/>
        </w:rPr>
        <w:t xml:space="preserve">tak </w:t>
      </w:r>
      <w:r w:rsidR="00DB45D7">
        <w:rPr>
          <w:rFonts w:eastAsia="Times New Roman" w:cs="Times New Roman"/>
          <w:color w:val="auto"/>
          <w:sz w:val="24"/>
          <w:szCs w:val="24"/>
        </w:rPr>
        <w:t>szerokiego</w:t>
      </w:r>
      <w:r w:rsidR="007577B6">
        <w:rPr>
          <w:rFonts w:eastAsia="Times New Roman" w:cs="Times New Roman"/>
          <w:color w:val="auto"/>
          <w:sz w:val="24"/>
          <w:szCs w:val="24"/>
        </w:rPr>
        <w:t xml:space="preserve"> zdefiniow</w:t>
      </w:r>
      <w:r w:rsidR="00DB45D7">
        <w:rPr>
          <w:rFonts w:eastAsia="Times New Roman" w:cs="Times New Roman"/>
          <w:color w:val="auto"/>
          <w:sz w:val="24"/>
          <w:szCs w:val="24"/>
        </w:rPr>
        <w:t>ania</w:t>
      </w:r>
      <w:r w:rsidR="007577B6">
        <w:rPr>
          <w:rFonts w:eastAsia="Times New Roman" w:cs="Times New Roman"/>
          <w:color w:val="auto"/>
          <w:sz w:val="24"/>
          <w:szCs w:val="24"/>
        </w:rPr>
        <w:t xml:space="preserve"> katalogu danych, które mogą być przetwarzane w aplikacji w zależności od</w:t>
      </w:r>
      <w:r w:rsidR="00DB45D7">
        <w:rPr>
          <w:rFonts w:eastAsia="Times New Roman" w:cs="Times New Roman"/>
          <w:color w:val="auto"/>
          <w:sz w:val="24"/>
          <w:szCs w:val="24"/>
        </w:rPr>
        <w:t> </w:t>
      </w:r>
      <w:r>
        <w:rPr>
          <w:rFonts w:eastAsia="Times New Roman" w:cs="Times New Roman"/>
          <w:color w:val="auto"/>
          <w:sz w:val="24"/>
          <w:szCs w:val="24"/>
        </w:rPr>
        <w:t>u</w:t>
      </w:r>
      <w:r w:rsidR="007577B6">
        <w:rPr>
          <w:rFonts w:eastAsia="Times New Roman" w:cs="Times New Roman"/>
          <w:color w:val="auto"/>
          <w:sz w:val="24"/>
          <w:szCs w:val="24"/>
        </w:rPr>
        <w:t xml:space="preserve">sługi. </w:t>
      </w:r>
      <w:r w:rsidR="00FB20B3">
        <w:rPr>
          <w:rFonts w:eastAsia="Times New Roman" w:cs="Times New Roman"/>
          <w:color w:val="auto"/>
          <w:sz w:val="24"/>
          <w:szCs w:val="24"/>
        </w:rPr>
        <w:t>W</w:t>
      </w:r>
      <w:r w:rsidR="00FB20B3" w:rsidRPr="00FB20B3">
        <w:rPr>
          <w:rFonts w:eastAsia="Times New Roman" w:cs="Times New Roman"/>
          <w:color w:val="auto"/>
          <w:sz w:val="24"/>
          <w:szCs w:val="24"/>
        </w:rPr>
        <w:t xml:space="preserve"> świetle</w:t>
      </w:r>
      <w:r w:rsidR="00FB20B3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A07717">
        <w:rPr>
          <w:rFonts w:eastAsia="Times New Roman" w:cs="Times New Roman"/>
          <w:color w:val="auto"/>
          <w:sz w:val="24"/>
          <w:szCs w:val="24"/>
        </w:rPr>
        <w:t>przywołanych</w:t>
      </w:r>
      <w:r w:rsidR="00FB20B3" w:rsidRPr="00FB20B3">
        <w:rPr>
          <w:rFonts w:eastAsia="Times New Roman" w:cs="Times New Roman"/>
          <w:color w:val="auto"/>
          <w:sz w:val="24"/>
          <w:szCs w:val="24"/>
        </w:rPr>
        <w:t xml:space="preserve"> zasad podawanie takich danych nie jest konieczne, ponieważ istnieją</w:t>
      </w:r>
      <w:r w:rsidR="00FB20B3">
        <w:rPr>
          <w:rFonts w:eastAsia="Times New Roman" w:cs="Times New Roman"/>
          <w:color w:val="auto"/>
          <w:sz w:val="24"/>
          <w:szCs w:val="24"/>
        </w:rPr>
        <w:t xml:space="preserve"> inne możliwości identyfikacji </w:t>
      </w:r>
      <w:r w:rsidR="007577B6">
        <w:rPr>
          <w:rFonts w:eastAsia="Times New Roman" w:cs="Times New Roman"/>
          <w:color w:val="auto"/>
          <w:sz w:val="24"/>
          <w:szCs w:val="24"/>
        </w:rPr>
        <w:t>osób fizycznych np. przez numer PESEL czy</w:t>
      </w:r>
      <w:r w:rsidR="00A07717">
        <w:rPr>
          <w:rFonts w:eastAsia="Times New Roman" w:cs="Times New Roman"/>
          <w:color w:val="auto"/>
          <w:sz w:val="24"/>
          <w:szCs w:val="24"/>
        </w:rPr>
        <w:t> </w:t>
      </w:r>
      <w:r w:rsidR="007577B6">
        <w:rPr>
          <w:rFonts w:eastAsia="Times New Roman" w:cs="Times New Roman"/>
          <w:color w:val="auto"/>
          <w:sz w:val="24"/>
          <w:szCs w:val="24"/>
        </w:rPr>
        <w:t xml:space="preserve">datę urodzenia. </w:t>
      </w:r>
      <w:r w:rsidR="008B0809" w:rsidRPr="008B0809">
        <w:rPr>
          <w:rFonts w:eastAsia="Times New Roman" w:cs="Times New Roman"/>
          <w:color w:val="auto"/>
          <w:sz w:val="24"/>
          <w:szCs w:val="24"/>
        </w:rPr>
        <w:t>Tym samym możliwość operowania tak szczegółowymi danymi może nie</w:t>
      </w:r>
      <w:r w:rsidR="00A07717">
        <w:rPr>
          <w:rFonts w:eastAsia="Times New Roman" w:cs="Times New Roman"/>
          <w:color w:val="auto"/>
          <w:sz w:val="24"/>
          <w:szCs w:val="24"/>
        </w:rPr>
        <w:t> </w:t>
      </w:r>
      <w:r w:rsidR="008B0809" w:rsidRPr="008B0809">
        <w:rPr>
          <w:rFonts w:eastAsia="Times New Roman" w:cs="Times New Roman"/>
          <w:color w:val="auto"/>
          <w:sz w:val="24"/>
          <w:szCs w:val="24"/>
        </w:rPr>
        <w:t xml:space="preserve">być uzasadniona. </w:t>
      </w:r>
    </w:p>
    <w:p w14:paraId="728BD55C" w14:textId="58048451" w:rsidR="008B0809" w:rsidRPr="008B0809" w:rsidRDefault="008B0809" w:rsidP="008B0809">
      <w:pPr>
        <w:spacing w:before="120"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8B0809">
        <w:rPr>
          <w:rFonts w:eastAsia="Times New Roman" w:cs="Times New Roman"/>
          <w:color w:val="auto"/>
          <w:sz w:val="24"/>
          <w:szCs w:val="24"/>
        </w:rPr>
        <w:t>3.</w:t>
      </w:r>
      <w:r w:rsidRPr="008B0809">
        <w:rPr>
          <w:rFonts w:eastAsia="Times New Roman" w:cs="Times New Roman"/>
          <w:color w:val="auto"/>
          <w:sz w:val="24"/>
          <w:szCs w:val="24"/>
        </w:rPr>
        <w:tab/>
      </w:r>
      <w:r w:rsidR="00ED5F35">
        <w:rPr>
          <w:rFonts w:eastAsia="Times New Roman" w:cs="Times New Roman"/>
          <w:color w:val="auto"/>
          <w:sz w:val="24"/>
          <w:szCs w:val="24"/>
        </w:rPr>
        <w:t>Ponadto przez to, że opisany wyżej</w:t>
      </w:r>
      <w:r w:rsidR="00D70B1B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D70B1B" w:rsidRPr="00D70B1B">
        <w:rPr>
          <w:rFonts w:eastAsia="Times New Roman" w:cs="Times New Roman"/>
          <w:color w:val="auto"/>
          <w:sz w:val="24"/>
          <w:szCs w:val="24"/>
        </w:rPr>
        <w:t xml:space="preserve">art. 2 ust. 4 </w:t>
      </w:r>
      <w:r w:rsidR="00ED5F35">
        <w:rPr>
          <w:rFonts w:eastAsia="Times New Roman" w:cs="Times New Roman"/>
          <w:color w:val="auto"/>
          <w:sz w:val="24"/>
          <w:szCs w:val="24"/>
        </w:rPr>
        <w:t xml:space="preserve">projektu ustawy </w:t>
      </w:r>
      <w:r w:rsidR="00D70B1B">
        <w:rPr>
          <w:rFonts w:eastAsia="Times New Roman" w:cs="Times New Roman"/>
          <w:color w:val="auto"/>
          <w:sz w:val="24"/>
          <w:szCs w:val="24"/>
        </w:rPr>
        <w:t>posługuje</w:t>
      </w:r>
      <w:r w:rsidR="00D70B1B" w:rsidRPr="00D70B1B">
        <w:rPr>
          <w:rFonts w:eastAsia="Times New Roman" w:cs="Times New Roman"/>
          <w:color w:val="auto"/>
          <w:sz w:val="24"/>
          <w:szCs w:val="24"/>
        </w:rPr>
        <w:t xml:space="preserve"> się</w:t>
      </w:r>
      <w:r w:rsidR="00DB45D7">
        <w:rPr>
          <w:rFonts w:eastAsia="Times New Roman" w:cs="Times New Roman"/>
          <w:color w:val="auto"/>
          <w:sz w:val="24"/>
          <w:szCs w:val="24"/>
        </w:rPr>
        <w:t> </w:t>
      </w:r>
      <w:r w:rsidR="00D70B1B" w:rsidRPr="00D70B1B">
        <w:rPr>
          <w:rFonts w:eastAsia="Times New Roman" w:cs="Times New Roman"/>
          <w:color w:val="auto"/>
          <w:sz w:val="24"/>
          <w:szCs w:val="24"/>
        </w:rPr>
        <w:t>s</w:t>
      </w:r>
      <w:r w:rsidR="00ED5F35">
        <w:rPr>
          <w:rFonts w:eastAsia="Times New Roman" w:cs="Times New Roman"/>
          <w:color w:val="auto"/>
          <w:sz w:val="24"/>
          <w:szCs w:val="24"/>
        </w:rPr>
        <w:t xml:space="preserve">formułowaniem „w szczególności”, </w:t>
      </w:r>
      <w:r w:rsidR="00D70B1B">
        <w:rPr>
          <w:rFonts w:eastAsia="Times New Roman" w:cs="Times New Roman"/>
          <w:color w:val="auto"/>
          <w:sz w:val="24"/>
          <w:szCs w:val="24"/>
        </w:rPr>
        <w:t xml:space="preserve">statuuje </w:t>
      </w:r>
      <w:r w:rsidR="00ED5F35">
        <w:rPr>
          <w:rFonts w:eastAsia="Times New Roman" w:cs="Times New Roman"/>
          <w:color w:val="auto"/>
          <w:sz w:val="24"/>
          <w:szCs w:val="24"/>
        </w:rPr>
        <w:t xml:space="preserve">on w istocie </w:t>
      </w:r>
      <w:r w:rsidR="00D70B1B">
        <w:rPr>
          <w:rFonts w:eastAsia="Times New Roman" w:cs="Times New Roman"/>
          <w:color w:val="auto"/>
          <w:sz w:val="24"/>
          <w:szCs w:val="24"/>
        </w:rPr>
        <w:t xml:space="preserve">otwarty katalog danych. 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Z uwagi na wspomniane zasady wynikające z rozporządzenia 2016/679 zasadna wydaje się ponowna analiza art. 2 ust. 4 projektu ustawy </w:t>
      </w:r>
      <w:r w:rsidR="00DB45D7" w:rsidRPr="008B0809">
        <w:rPr>
          <w:rFonts w:eastAsia="Times New Roman" w:cs="Times New Roman"/>
          <w:color w:val="auto"/>
          <w:sz w:val="24"/>
          <w:szCs w:val="24"/>
        </w:rPr>
        <w:t>również</w:t>
      </w:r>
      <w:r w:rsidR="00DB45D7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C21A7F">
        <w:rPr>
          <w:rFonts w:eastAsia="Times New Roman" w:cs="Times New Roman"/>
          <w:color w:val="auto"/>
          <w:sz w:val="24"/>
          <w:szCs w:val="24"/>
        </w:rPr>
        <w:t>pod kątem potrzeby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 wprowadzenia zamkniętego katalogu danych, które mogą być przetwarzane na jego podstawie. Katalogi przetwarzanych danych osobowych powinny być bowiem ograniczone do tego, co</w:t>
      </w:r>
      <w:r>
        <w:rPr>
          <w:rFonts w:eastAsia="Times New Roman" w:cs="Times New Roman"/>
          <w:color w:val="auto"/>
          <w:sz w:val="24"/>
          <w:szCs w:val="24"/>
        </w:rPr>
        <w:t> 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konieczne. </w:t>
      </w:r>
    </w:p>
    <w:p w14:paraId="798513D8" w14:textId="5D2734DD" w:rsidR="008B0809" w:rsidRPr="008B0809" w:rsidRDefault="008B0809" w:rsidP="008B0809">
      <w:pPr>
        <w:spacing w:before="120"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8B0809">
        <w:rPr>
          <w:rFonts w:eastAsia="Times New Roman" w:cs="Times New Roman"/>
          <w:color w:val="auto"/>
          <w:sz w:val="24"/>
          <w:szCs w:val="24"/>
        </w:rPr>
        <w:t>Po takim doprecyzowaniu</w:t>
      </w:r>
      <w:r w:rsidR="00DB45D7">
        <w:rPr>
          <w:rFonts w:eastAsia="Times New Roman" w:cs="Times New Roman"/>
          <w:color w:val="auto"/>
          <w:sz w:val="24"/>
          <w:szCs w:val="24"/>
        </w:rPr>
        <w:t>,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C21A7F">
        <w:rPr>
          <w:rFonts w:eastAsia="Times New Roman" w:cs="Times New Roman"/>
          <w:color w:val="auto"/>
          <w:sz w:val="24"/>
          <w:szCs w:val="24"/>
        </w:rPr>
        <w:t>wskazanym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 zasadom będzie odpowiadał również art. 4 ust. 5 projektu ustawy, zgodnie z którym Rada Ministrów będzie mogła określić zakres danych i</w:t>
      </w:r>
      <w:r w:rsidR="00DB45D7">
        <w:rPr>
          <w:rFonts w:eastAsia="Times New Roman" w:cs="Times New Roman"/>
          <w:color w:val="auto"/>
          <w:sz w:val="24"/>
          <w:szCs w:val="24"/>
        </w:rPr>
        <w:t> </w:t>
      </w:r>
      <w:r w:rsidRPr="008B0809">
        <w:rPr>
          <w:rFonts w:eastAsia="Times New Roman" w:cs="Times New Roman"/>
          <w:color w:val="auto"/>
          <w:sz w:val="24"/>
          <w:szCs w:val="24"/>
        </w:rPr>
        <w:t>dalszy wykaz rejestrów publicznych i systemów teleinformatycznych (niewskazany obecnie w projekcie ustawy), z których użytkownik aplikacji mObywatel będzie mógł pobrać dane niezbędne do korzystania z usług udostępnianych i świadczonych w aplikacji mObywatel.</w:t>
      </w:r>
    </w:p>
    <w:p w14:paraId="01573531" w14:textId="1D1182C2" w:rsidR="008B0809" w:rsidRPr="008B0809" w:rsidRDefault="008B0809" w:rsidP="008B0809">
      <w:pPr>
        <w:spacing w:before="120"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8B0809">
        <w:rPr>
          <w:rFonts w:eastAsia="Times New Roman" w:cs="Times New Roman"/>
          <w:color w:val="auto"/>
          <w:sz w:val="24"/>
          <w:szCs w:val="24"/>
        </w:rPr>
        <w:t>4.</w:t>
      </w:r>
      <w:r w:rsidRPr="008B0809">
        <w:rPr>
          <w:rFonts w:eastAsia="Times New Roman" w:cs="Times New Roman"/>
          <w:color w:val="auto"/>
          <w:sz w:val="24"/>
          <w:szCs w:val="24"/>
        </w:rPr>
        <w:tab/>
        <w:t xml:space="preserve">Ponadto, mając na uwadze zasady ograniczenia celu oraz minimalizacji danych z art. 5 ust. 1 lit. b) i c) rozporządzenia 2016/679, zasadne wydaje się dookreślenie projektowanego art. 2 ust. 4 ustawy w taki sposób, by wskazywał, że dokument elektroniczny, oprócz danych, o których mowa w ust 3, może zawierać także inne dane pobrane z rejestrów publicznych </w:t>
      </w:r>
      <w:r w:rsidR="00C61DB5" w:rsidRPr="008B0809">
        <w:rPr>
          <w:rFonts w:eastAsia="Times New Roman" w:cs="Times New Roman"/>
          <w:color w:val="auto"/>
          <w:sz w:val="24"/>
          <w:szCs w:val="24"/>
        </w:rPr>
        <w:t>lub</w:t>
      </w:r>
      <w:r w:rsidR="00C61DB5">
        <w:rPr>
          <w:rFonts w:eastAsia="Times New Roman" w:cs="Times New Roman"/>
          <w:color w:val="auto"/>
          <w:sz w:val="24"/>
          <w:szCs w:val="24"/>
        </w:rPr>
        <w:t> 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systemów teleinformatycznych w zależności od nowej usługi związanej z przekazywaniem danych przez użytkowników do systemów teleinformatycznych podmiotów świadczących usługi z wykorzystaniem aplikacji mObywatel, w których potrzebne będzie przekazanie danych użytkownika. Takie zastrzeżenie nie wynika </w:t>
      </w:r>
      <w:r w:rsidR="000060A3">
        <w:rPr>
          <w:rFonts w:eastAsia="Times New Roman" w:cs="Times New Roman"/>
          <w:color w:val="auto"/>
          <w:sz w:val="24"/>
          <w:szCs w:val="24"/>
        </w:rPr>
        <w:t xml:space="preserve">bowiem </w:t>
      </w:r>
      <w:r w:rsidRPr="008B0809">
        <w:rPr>
          <w:rFonts w:eastAsia="Times New Roman" w:cs="Times New Roman"/>
          <w:color w:val="auto"/>
          <w:sz w:val="24"/>
          <w:szCs w:val="24"/>
        </w:rPr>
        <w:t>z projektu ustawy.</w:t>
      </w:r>
    </w:p>
    <w:p w14:paraId="52134CFA" w14:textId="77777777" w:rsidR="005034AA" w:rsidRDefault="008B0809" w:rsidP="008B0809">
      <w:pPr>
        <w:spacing w:before="120"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8B0809">
        <w:rPr>
          <w:rFonts w:eastAsia="Times New Roman" w:cs="Times New Roman"/>
          <w:color w:val="auto"/>
          <w:sz w:val="24"/>
          <w:szCs w:val="24"/>
        </w:rPr>
        <w:t>5.</w:t>
      </w:r>
      <w:r w:rsidRPr="008B0809">
        <w:rPr>
          <w:rFonts w:eastAsia="Times New Roman" w:cs="Times New Roman"/>
          <w:color w:val="auto"/>
          <w:sz w:val="24"/>
          <w:szCs w:val="24"/>
        </w:rPr>
        <w:tab/>
      </w:r>
      <w:r w:rsidR="005034AA">
        <w:rPr>
          <w:rFonts w:eastAsia="Times New Roman" w:cs="Times New Roman"/>
          <w:color w:val="auto"/>
          <w:sz w:val="24"/>
          <w:szCs w:val="24"/>
        </w:rPr>
        <w:t>Art. 7 zdanie pierwsze projektu ustawy stanowi, że m</w:t>
      </w:r>
      <w:r w:rsidR="005034AA" w:rsidRPr="005034AA">
        <w:rPr>
          <w:rFonts w:eastAsia="Times New Roman" w:cs="Times New Roman"/>
          <w:color w:val="auto"/>
          <w:sz w:val="24"/>
          <w:szCs w:val="24"/>
        </w:rPr>
        <w:t>inister właściwy do spraw informatyzacji przetwarz</w:t>
      </w:r>
      <w:r w:rsidR="005034AA">
        <w:rPr>
          <w:rFonts w:eastAsia="Times New Roman" w:cs="Times New Roman"/>
          <w:color w:val="auto"/>
          <w:sz w:val="24"/>
          <w:szCs w:val="24"/>
        </w:rPr>
        <w:t>a w systemie teleinformatycznym</w:t>
      </w:r>
      <w:r w:rsidR="005034AA" w:rsidRPr="005034AA">
        <w:rPr>
          <w:rFonts w:eastAsia="Times New Roman" w:cs="Times New Roman"/>
          <w:color w:val="auto"/>
          <w:sz w:val="24"/>
          <w:szCs w:val="24"/>
        </w:rPr>
        <w:t xml:space="preserve"> dane osobowe użytkowników aplikacji mObywatel w zakresie niezbędnym do realizacji usług udostępnionych w tej aplikacji, a także w celu zapewnienia bezpieczeństwa teleinformatycznego i bezpieczeństwa obrotu prawnego</w:t>
      </w:r>
      <w:r w:rsidR="005034AA">
        <w:rPr>
          <w:rFonts w:eastAsia="Times New Roman" w:cs="Times New Roman"/>
          <w:color w:val="auto"/>
          <w:sz w:val="24"/>
          <w:szCs w:val="24"/>
        </w:rPr>
        <w:t xml:space="preserve">. </w:t>
      </w:r>
    </w:p>
    <w:p w14:paraId="0D664D35" w14:textId="3DC3323B" w:rsidR="009B7D28" w:rsidRPr="009B7D28" w:rsidRDefault="008B0809" w:rsidP="008B0809">
      <w:pPr>
        <w:spacing w:before="120"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8B0809">
        <w:rPr>
          <w:rFonts w:eastAsia="Times New Roman" w:cs="Times New Roman"/>
          <w:color w:val="auto"/>
          <w:sz w:val="24"/>
          <w:szCs w:val="24"/>
        </w:rPr>
        <w:t xml:space="preserve">Ze względu na zasadę minimalizacji danych określoną w rozporządzeniu 2016/679 </w:t>
      </w:r>
      <w:r w:rsidR="000060A3">
        <w:rPr>
          <w:rFonts w:eastAsia="Times New Roman" w:cs="Times New Roman"/>
          <w:color w:val="auto"/>
          <w:sz w:val="24"/>
          <w:szCs w:val="24"/>
        </w:rPr>
        <w:t>konieczna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 wydaje się również ponowna analiza art. 7 zdania pierwszego projektu</w:t>
      </w:r>
      <w:r w:rsidR="00A07717">
        <w:rPr>
          <w:rFonts w:eastAsia="Times New Roman" w:cs="Times New Roman"/>
          <w:color w:val="auto"/>
          <w:sz w:val="24"/>
          <w:szCs w:val="24"/>
        </w:rPr>
        <w:t>,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C61DB5">
        <w:rPr>
          <w:rFonts w:eastAsia="Times New Roman" w:cs="Times New Roman"/>
          <w:color w:val="auto"/>
          <w:sz w:val="24"/>
          <w:szCs w:val="24"/>
        </w:rPr>
        <w:t>pod kątem potrzeby</w:t>
      </w:r>
      <w:r w:rsidRPr="008B0809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8B0809">
        <w:rPr>
          <w:rFonts w:eastAsia="Times New Roman" w:cs="Times New Roman"/>
          <w:color w:val="auto"/>
          <w:sz w:val="24"/>
          <w:szCs w:val="24"/>
        </w:rPr>
        <w:lastRenderedPageBreak/>
        <w:t>wprowadzenia zamkniętego katalogu danych, które mogą być przetwarzane na tej podstawie. Katalogi przetwarzanych danych osobowych powinny być bowiem og</w:t>
      </w:r>
      <w:r>
        <w:rPr>
          <w:rFonts w:eastAsia="Times New Roman" w:cs="Times New Roman"/>
          <w:color w:val="auto"/>
          <w:sz w:val="24"/>
          <w:szCs w:val="24"/>
        </w:rPr>
        <w:t>raniczone do</w:t>
      </w:r>
      <w:r w:rsidR="00DB45D7">
        <w:rPr>
          <w:rFonts w:eastAsia="Times New Roman" w:cs="Times New Roman"/>
          <w:color w:val="auto"/>
          <w:sz w:val="24"/>
          <w:szCs w:val="24"/>
        </w:rPr>
        <w:t> </w:t>
      </w:r>
      <w:r>
        <w:rPr>
          <w:rFonts w:eastAsia="Times New Roman" w:cs="Times New Roman"/>
          <w:color w:val="auto"/>
          <w:sz w:val="24"/>
          <w:szCs w:val="24"/>
        </w:rPr>
        <w:t>tego, co</w:t>
      </w:r>
      <w:r w:rsidR="00A07717">
        <w:rPr>
          <w:rFonts w:eastAsia="Times New Roman" w:cs="Times New Roman"/>
          <w:color w:val="auto"/>
          <w:sz w:val="24"/>
          <w:szCs w:val="24"/>
        </w:rPr>
        <w:t> </w:t>
      </w:r>
      <w:r>
        <w:rPr>
          <w:rFonts w:eastAsia="Times New Roman" w:cs="Times New Roman"/>
          <w:color w:val="auto"/>
          <w:sz w:val="24"/>
          <w:szCs w:val="24"/>
        </w:rPr>
        <w:t>konieczne</w:t>
      </w:r>
      <w:r w:rsidR="009B7D28" w:rsidRPr="009B7D28">
        <w:rPr>
          <w:rFonts w:eastAsia="Times New Roman" w:cs="Times New Roman"/>
          <w:color w:val="auto"/>
          <w:sz w:val="24"/>
          <w:szCs w:val="24"/>
        </w:rPr>
        <w:t xml:space="preserve">. </w:t>
      </w:r>
    </w:p>
    <w:p w14:paraId="682F6D37" w14:textId="77777777" w:rsidR="00B64AA6" w:rsidRDefault="00B64AA6" w:rsidP="00B64AA6">
      <w:pPr>
        <w:spacing w:after="12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</w:p>
    <w:p w14:paraId="7E7DC1E6" w14:textId="77777777" w:rsidR="00B9144F" w:rsidRPr="00BF3DD0" w:rsidRDefault="00B9144F" w:rsidP="00B64AA6">
      <w:pPr>
        <w:spacing w:after="120" w:line="240" w:lineRule="auto"/>
        <w:ind w:left="-142"/>
        <w:jc w:val="both"/>
        <w:rPr>
          <w:rFonts w:eastAsia="Times New Roman" w:cs="Times New Roman"/>
          <w:b/>
          <w:color w:val="auto"/>
          <w:sz w:val="24"/>
          <w:szCs w:val="24"/>
        </w:rPr>
      </w:pPr>
      <w:r w:rsidRPr="00BF3DD0">
        <w:rPr>
          <w:rFonts w:eastAsia="Times New Roman" w:cs="Times New Roman"/>
          <w:b/>
          <w:color w:val="auto"/>
          <w:sz w:val="24"/>
          <w:szCs w:val="24"/>
        </w:rPr>
        <w:t xml:space="preserve">Projekt </w:t>
      </w:r>
      <w:r w:rsidR="00CF270C">
        <w:rPr>
          <w:rFonts w:eastAsia="Times New Roman" w:cs="Times New Roman"/>
          <w:b/>
          <w:color w:val="auto"/>
          <w:sz w:val="24"/>
          <w:szCs w:val="24"/>
        </w:rPr>
        <w:t>ustawy, z zastrzeżeniem uwag zgłoszonych w niniejszej opinii,</w:t>
      </w:r>
      <w:r w:rsidR="00763380">
        <w:rPr>
          <w:rFonts w:eastAsia="Times New Roman" w:cs="Times New Roman"/>
          <w:b/>
          <w:color w:val="auto"/>
          <w:sz w:val="24"/>
          <w:szCs w:val="24"/>
        </w:rPr>
        <w:t xml:space="preserve"> nie jest sprzeczny z</w:t>
      </w:r>
      <w:r w:rsidR="00077DBE">
        <w:rPr>
          <w:rFonts w:eastAsia="Times New Roman" w:cs="Times New Roman"/>
          <w:b/>
          <w:color w:val="auto"/>
          <w:sz w:val="24"/>
          <w:szCs w:val="24"/>
        </w:rPr>
        <w:t> </w:t>
      </w:r>
      <w:r w:rsidRPr="00BF3DD0">
        <w:rPr>
          <w:rFonts w:eastAsia="Times New Roman" w:cs="Times New Roman"/>
          <w:b/>
          <w:color w:val="auto"/>
          <w:sz w:val="24"/>
          <w:szCs w:val="24"/>
        </w:rPr>
        <w:t>prawem Unii Europejskiej.</w:t>
      </w:r>
    </w:p>
    <w:p w14:paraId="265CE975" w14:textId="77777777" w:rsidR="009B1021" w:rsidRDefault="009B1021" w:rsidP="005D603F">
      <w:pPr>
        <w:pStyle w:val="Tekstpodstawowy"/>
        <w:spacing w:before="120" w:line="340" w:lineRule="atLeast"/>
        <w:ind w:left="3544" w:right="-46"/>
        <w:jc w:val="center"/>
        <w:rPr>
          <w:rFonts w:asciiTheme="minorHAnsi" w:eastAsiaTheme="minorHAnsi" w:hAnsiTheme="minorHAnsi"/>
          <w:i/>
          <w:szCs w:val="24"/>
          <w:lang w:eastAsia="en-US"/>
        </w:rPr>
      </w:pPr>
    </w:p>
    <w:p w14:paraId="731875AD" w14:textId="77777777" w:rsidR="009B1021" w:rsidRDefault="009B1021" w:rsidP="005D603F">
      <w:pPr>
        <w:pStyle w:val="Tekstpodstawowy"/>
        <w:spacing w:before="120" w:line="340" w:lineRule="atLeast"/>
        <w:ind w:left="3544" w:right="-46"/>
        <w:jc w:val="center"/>
        <w:rPr>
          <w:rFonts w:asciiTheme="minorHAnsi" w:eastAsiaTheme="minorHAnsi" w:hAnsiTheme="minorHAnsi"/>
          <w:i/>
          <w:szCs w:val="24"/>
          <w:lang w:eastAsia="en-US"/>
        </w:rPr>
      </w:pPr>
    </w:p>
    <w:p w14:paraId="07AA126B" w14:textId="77777777" w:rsidR="009B1021" w:rsidRDefault="009B1021" w:rsidP="005D603F">
      <w:pPr>
        <w:pStyle w:val="Tekstpodstawowy"/>
        <w:spacing w:before="120" w:line="340" w:lineRule="atLeast"/>
        <w:ind w:left="3544" w:right="-46"/>
        <w:jc w:val="center"/>
        <w:rPr>
          <w:rFonts w:asciiTheme="minorHAnsi" w:eastAsiaTheme="minorHAnsi" w:hAnsiTheme="minorHAnsi"/>
          <w:i/>
          <w:szCs w:val="24"/>
          <w:lang w:eastAsia="en-US"/>
        </w:rPr>
      </w:pPr>
    </w:p>
    <w:p w14:paraId="799304E9" w14:textId="250338E3" w:rsidR="005D603F" w:rsidRDefault="005D603F" w:rsidP="005D603F">
      <w:pPr>
        <w:pStyle w:val="Tekstpodstawowy"/>
        <w:spacing w:before="120" w:line="340" w:lineRule="atLeast"/>
        <w:ind w:left="3544" w:right="-46"/>
        <w:jc w:val="center"/>
        <w:rPr>
          <w:rFonts w:asciiTheme="minorHAnsi" w:eastAsiaTheme="minorHAnsi" w:hAnsiTheme="minorHAnsi"/>
          <w:szCs w:val="24"/>
          <w:lang w:eastAsia="en-US"/>
        </w:rPr>
      </w:pPr>
      <w:r>
        <w:rPr>
          <w:rFonts w:asciiTheme="minorHAnsi" w:eastAsiaTheme="minorHAnsi" w:hAnsiTheme="minorHAnsi"/>
          <w:i/>
          <w:szCs w:val="24"/>
          <w:lang w:eastAsia="en-US"/>
        </w:rPr>
        <w:t>Z poważaniem</w:t>
      </w:r>
    </w:p>
    <w:p w14:paraId="183052B6" w14:textId="77777777" w:rsidR="005D603F" w:rsidRDefault="005D603F" w:rsidP="005D603F">
      <w:pPr>
        <w:spacing w:after="0" w:line="360" w:lineRule="auto"/>
        <w:ind w:left="3544"/>
        <w:jc w:val="center"/>
        <w:rPr>
          <w:sz w:val="24"/>
          <w:szCs w:val="24"/>
        </w:rPr>
      </w:pPr>
      <w:r>
        <w:rPr>
          <w:sz w:val="24"/>
          <w:szCs w:val="24"/>
        </w:rPr>
        <w:t>Konrad Szymański</w:t>
      </w:r>
    </w:p>
    <w:p w14:paraId="10E1D188" w14:textId="77777777" w:rsidR="005D603F" w:rsidRDefault="005D603F" w:rsidP="005D603F">
      <w:pPr>
        <w:spacing w:after="0" w:line="360" w:lineRule="auto"/>
        <w:ind w:left="3544"/>
        <w:jc w:val="center"/>
        <w:rPr>
          <w:sz w:val="24"/>
          <w:szCs w:val="24"/>
        </w:rPr>
      </w:pPr>
      <w:r>
        <w:rPr>
          <w:sz w:val="24"/>
          <w:szCs w:val="24"/>
        </w:rPr>
        <w:t>Minister do Spraw Unii Europejskiej</w:t>
      </w:r>
    </w:p>
    <w:p w14:paraId="471F1349" w14:textId="26E0523E" w:rsidR="00B268D2" w:rsidRDefault="005D603F" w:rsidP="009462FC">
      <w:pPr>
        <w:spacing w:after="0" w:line="360" w:lineRule="auto"/>
        <w:ind w:left="3544"/>
        <w:jc w:val="center"/>
        <w:rPr>
          <w:sz w:val="24"/>
          <w:szCs w:val="24"/>
          <w:u w:val="single"/>
        </w:rPr>
      </w:pPr>
      <w:r>
        <w:rPr>
          <w:i/>
          <w:sz w:val="24"/>
          <w:szCs w:val="24"/>
        </w:rPr>
        <w:t>/podpisano kwalifikowanym podpisem elektronicznym/</w:t>
      </w:r>
    </w:p>
    <w:p w14:paraId="0E33A06E" w14:textId="77777777" w:rsidR="00B268D2" w:rsidRDefault="00B268D2" w:rsidP="009B1ED8">
      <w:pPr>
        <w:spacing w:after="0" w:line="240" w:lineRule="auto"/>
        <w:ind w:left="-425" w:right="-1" w:firstLine="284"/>
        <w:jc w:val="both"/>
        <w:rPr>
          <w:sz w:val="24"/>
          <w:szCs w:val="24"/>
          <w:u w:val="single"/>
        </w:rPr>
      </w:pPr>
    </w:p>
    <w:p w14:paraId="6D9E4552" w14:textId="77777777" w:rsidR="00B268D2" w:rsidRDefault="00B268D2" w:rsidP="009B1ED8">
      <w:pPr>
        <w:spacing w:after="0" w:line="240" w:lineRule="auto"/>
        <w:ind w:left="-425" w:right="-1" w:firstLine="284"/>
        <w:jc w:val="both"/>
        <w:rPr>
          <w:sz w:val="24"/>
          <w:szCs w:val="24"/>
          <w:u w:val="single"/>
        </w:rPr>
      </w:pPr>
    </w:p>
    <w:sectPr w:rsidR="00B268D2" w:rsidSect="005C2CED">
      <w:headerReference w:type="default" r:id="rId9"/>
      <w:footerReference w:type="default" r:id="rId10"/>
      <w:pgSz w:w="11906" w:h="16838"/>
      <w:pgMar w:top="674" w:right="1440" w:bottom="907" w:left="1440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9FAA6" w14:textId="77777777" w:rsidR="005D0319" w:rsidRDefault="005D0319" w:rsidP="00884D92">
      <w:pPr>
        <w:spacing w:after="0" w:line="240" w:lineRule="auto"/>
      </w:pPr>
      <w:r>
        <w:separator/>
      </w:r>
    </w:p>
  </w:endnote>
  <w:endnote w:type="continuationSeparator" w:id="0">
    <w:p w14:paraId="55447F86" w14:textId="77777777" w:rsidR="005D0319" w:rsidRDefault="005D0319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4657604"/>
      <w:docPartObj>
        <w:docPartGallery w:val="Page Numbers (Bottom of Page)"/>
        <w:docPartUnique/>
      </w:docPartObj>
    </w:sdtPr>
    <w:sdtEndPr/>
    <w:sdtContent>
      <w:p w14:paraId="131D497A" w14:textId="6FC0A1F7" w:rsidR="00C22867" w:rsidRDefault="00C2286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3E6">
          <w:rPr>
            <w:noProof/>
          </w:rPr>
          <w:t>3</w:t>
        </w:r>
        <w:r>
          <w:fldChar w:fldCharType="end"/>
        </w:r>
      </w:p>
    </w:sdtContent>
  </w:sdt>
  <w:p w14:paraId="118606FC" w14:textId="77777777" w:rsidR="00C22867" w:rsidRDefault="00C228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E40348" w14:textId="77777777" w:rsidR="005D0319" w:rsidRDefault="005D0319" w:rsidP="00884D92">
      <w:pPr>
        <w:spacing w:after="0" w:line="240" w:lineRule="auto"/>
      </w:pPr>
      <w:r>
        <w:separator/>
      </w:r>
    </w:p>
  </w:footnote>
  <w:footnote w:type="continuationSeparator" w:id="0">
    <w:p w14:paraId="7CFD0210" w14:textId="77777777" w:rsidR="005D0319" w:rsidRDefault="005D0319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A86B5" w14:textId="77777777"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1488D"/>
    <w:multiLevelType w:val="hybridMultilevel"/>
    <w:tmpl w:val="96000C66"/>
    <w:lvl w:ilvl="0" w:tplc="274E20C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FC74F24"/>
    <w:multiLevelType w:val="hybridMultilevel"/>
    <w:tmpl w:val="6CF671A6"/>
    <w:lvl w:ilvl="0" w:tplc="F7088A3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32036B74"/>
    <w:multiLevelType w:val="hybridMultilevel"/>
    <w:tmpl w:val="FCD418C4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060A3"/>
    <w:rsid w:val="0002710A"/>
    <w:rsid w:val="000271C3"/>
    <w:rsid w:val="000306EB"/>
    <w:rsid w:val="00044ED8"/>
    <w:rsid w:val="00051EEA"/>
    <w:rsid w:val="00077DBE"/>
    <w:rsid w:val="00080904"/>
    <w:rsid w:val="00082F9D"/>
    <w:rsid w:val="000A286F"/>
    <w:rsid w:val="000A799C"/>
    <w:rsid w:val="000B2D6D"/>
    <w:rsid w:val="000B641D"/>
    <w:rsid w:val="000B7445"/>
    <w:rsid w:val="000C3919"/>
    <w:rsid w:val="001320A7"/>
    <w:rsid w:val="0016229E"/>
    <w:rsid w:val="00164581"/>
    <w:rsid w:val="00177D55"/>
    <w:rsid w:val="001B7D60"/>
    <w:rsid w:val="001C245C"/>
    <w:rsid w:val="001E3DB4"/>
    <w:rsid w:val="002344F8"/>
    <w:rsid w:val="00240171"/>
    <w:rsid w:val="00241359"/>
    <w:rsid w:val="00251063"/>
    <w:rsid w:val="00272206"/>
    <w:rsid w:val="0029337C"/>
    <w:rsid w:val="002C256D"/>
    <w:rsid w:val="002F4B4F"/>
    <w:rsid w:val="00321435"/>
    <w:rsid w:val="00335A02"/>
    <w:rsid w:val="003433C9"/>
    <w:rsid w:val="0036308D"/>
    <w:rsid w:val="003B4275"/>
    <w:rsid w:val="003B70E6"/>
    <w:rsid w:val="00427A5C"/>
    <w:rsid w:val="00450E68"/>
    <w:rsid w:val="0049025B"/>
    <w:rsid w:val="004D44D3"/>
    <w:rsid w:val="005034AA"/>
    <w:rsid w:val="00542F4E"/>
    <w:rsid w:val="005B0E75"/>
    <w:rsid w:val="005C2CED"/>
    <w:rsid w:val="005D0319"/>
    <w:rsid w:val="005D603F"/>
    <w:rsid w:val="005D6D49"/>
    <w:rsid w:val="005E783E"/>
    <w:rsid w:val="005F2EC7"/>
    <w:rsid w:val="00631ABF"/>
    <w:rsid w:val="00650EDA"/>
    <w:rsid w:val="006C1EEB"/>
    <w:rsid w:val="006F66CC"/>
    <w:rsid w:val="00706BCB"/>
    <w:rsid w:val="0070717E"/>
    <w:rsid w:val="007466E8"/>
    <w:rsid w:val="007577B6"/>
    <w:rsid w:val="00763380"/>
    <w:rsid w:val="007A308D"/>
    <w:rsid w:val="00841643"/>
    <w:rsid w:val="00857304"/>
    <w:rsid w:val="0086668D"/>
    <w:rsid w:val="00884D92"/>
    <w:rsid w:val="008B0809"/>
    <w:rsid w:val="008D0EB8"/>
    <w:rsid w:val="009275C7"/>
    <w:rsid w:val="009319A7"/>
    <w:rsid w:val="009462FC"/>
    <w:rsid w:val="00960ED6"/>
    <w:rsid w:val="0096349E"/>
    <w:rsid w:val="0098148A"/>
    <w:rsid w:val="00993CE2"/>
    <w:rsid w:val="009A3F50"/>
    <w:rsid w:val="009B1021"/>
    <w:rsid w:val="009B1ED8"/>
    <w:rsid w:val="009B77B3"/>
    <w:rsid w:val="009B7D28"/>
    <w:rsid w:val="00A01EA7"/>
    <w:rsid w:val="00A07717"/>
    <w:rsid w:val="00A166F3"/>
    <w:rsid w:val="00A3057C"/>
    <w:rsid w:val="00A60782"/>
    <w:rsid w:val="00A72014"/>
    <w:rsid w:val="00A746FF"/>
    <w:rsid w:val="00A960B5"/>
    <w:rsid w:val="00AA5A7F"/>
    <w:rsid w:val="00B0526B"/>
    <w:rsid w:val="00B268D2"/>
    <w:rsid w:val="00B269F6"/>
    <w:rsid w:val="00B55A8E"/>
    <w:rsid w:val="00B61C5A"/>
    <w:rsid w:val="00B64AA6"/>
    <w:rsid w:val="00B9144F"/>
    <w:rsid w:val="00BA7F79"/>
    <w:rsid w:val="00BC20BD"/>
    <w:rsid w:val="00BF3DD0"/>
    <w:rsid w:val="00C21A7F"/>
    <w:rsid w:val="00C22867"/>
    <w:rsid w:val="00C53D8D"/>
    <w:rsid w:val="00C61DB5"/>
    <w:rsid w:val="00C96F0C"/>
    <w:rsid w:val="00CA257B"/>
    <w:rsid w:val="00CB4E38"/>
    <w:rsid w:val="00CC223B"/>
    <w:rsid w:val="00CF270C"/>
    <w:rsid w:val="00D17640"/>
    <w:rsid w:val="00D40418"/>
    <w:rsid w:val="00D41BFF"/>
    <w:rsid w:val="00D42F21"/>
    <w:rsid w:val="00D55944"/>
    <w:rsid w:val="00D62A81"/>
    <w:rsid w:val="00D70B1B"/>
    <w:rsid w:val="00D90B7C"/>
    <w:rsid w:val="00D93A57"/>
    <w:rsid w:val="00D95938"/>
    <w:rsid w:val="00DB2344"/>
    <w:rsid w:val="00DB45D7"/>
    <w:rsid w:val="00DC2033"/>
    <w:rsid w:val="00DC32CB"/>
    <w:rsid w:val="00DC7146"/>
    <w:rsid w:val="00DD1C5F"/>
    <w:rsid w:val="00E039D2"/>
    <w:rsid w:val="00E07027"/>
    <w:rsid w:val="00E23B9F"/>
    <w:rsid w:val="00E23D0D"/>
    <w:rsid w:val="00E249FC"/>
    <w:rsid w:val="00E51A31"/>
    <w:rsid w:val="00E7375F"/>
    <w:rsid w:val="00EB37A2"/>
    <w:rsid w:val="00EB404A"/>
    <w:rsid w:val="00EC63E6"/>
    <w:rsid w:val="00ED1491"/>
    <w:rsid w:val="00ED5F35"/>
    <w:rsid w:val="00EE7C7F"/>
    <w:rsid w:val="00F037C9"/>
    <w:rsid w:val="00F13747"/>
    <w:rsid w:val="00F51E7E"/>
    <w:rsid w:val="00F83F19"/>
    <w:rsid w:val="00F90574"/>
    <w:rsid w:val="00F94A9B"/>
    <w:rsid w:val="00FA1A17"/>
    <w:rsid w:val="00FA3DA2"/>
    <w:rsid w:val="00FA6F38"/>
    <w:rsid w:val="00FB20B3"/>
    <w:rsid w:val="00FC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A82FAF"/>
  <w15:docId w15:val="{CCDC0855-6468-40A6-BB4D-034943CCE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24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24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245C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4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45C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9B7D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7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CE95D-2558-4CED-B6E0-71E619538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Sawicka Jana</dc:creator>
  <cp:lastModifiedBy>Wierzbicka-Kondratowicz Katarzyna</cp:lastModifiedBy>
  <cp:revision>2</cp:revision>
  <cp:lastPrinted>2020-03-11T08:16:00Z</cp:lastPrinted>
  <dcterms:created xsi:type="dcterms:W3CDTF">2022-07-05T07:29:00Z</dcterms:created>
  <dcterms:modified xsi:type="dcterms:W3CDTF">2022-07-05T07:29:00Z</dcterms:modified>
</cp:coreProperties>
</file>